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3B" w:rsidRPr="0065793B" w:rsidRDefault="0065793B" w:rsidP="0065793B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sz w:val="24"/>
          <w:szCs w:val="24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b/>
          <w:color w:val="3C3E40"/>
          <w:sz w:val="24"/>
          <w:szCs w:val="24"/>
          <w:lang w:eastAsia="ru-RU"/>
        </w:rPr>
        <w:t>Технологическое присоединение принадлежащих физическому лицу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предусмотрено по одному источнику</w:t>
      </w:r>
      <w:proofErr w:type="gramEnd"/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Кому предоставляется услуга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Физическое лицо в целях технологического присоединения (далее - заявитель)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 платы за предоставление услуги (процесса) и основание ее взимания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кВ</w:t>
      </w:r>
      <w:proofErr w:type="spell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метров в сельской местности. </w:t>
      </w:r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br/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оказания услуги (процесса)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 оказания услуги (процесса)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Технологическое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присоединения энергопринимающих устройств Заявителя.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срок оказания услуги (процесса)</w:t>
      </w:r>
    </w:p>
    <w:p w:rsid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кВ</w:t>
      </w:r>
      <w:proofErr w:type="spell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энергопринимающие</w:t>
      </w:r>
      <w:proofErr w:type="spell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местности: </w:t>
      </w:r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br/>
        <w:t>- если от сетевой организации не требуется выполнение работ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</w:t>
      </w: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 заключения договора;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 </w:t>
      </w:r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br/>
        <w:t xml:space="preserve">- в иных случаях – 6 месяцев </w:t>
      </w: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с даты заключения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договора. </w:t>
      </w:r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br/>
        <w:t xml:space="preserve">При несоблюдении всех вышеуказанных условий - 1 год </w:t>
      </w:r>
      <w:proofErr w:type="gramStart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с даты заключения</w:t>
      </w:r>
      <w:proofErr w:type="gramEnd"/>
      <w:r w:rsidRPr="0065793B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65793B" w:rsidRDefault="0065793B" w:rsidP="0065793B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65793B" w:rsidRPr="0065793B" w:rsidRDefault="0065793B" w:rsidP="0065793B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</w:pPr>
      <w:r w:rsidRPr="0065793B"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  <w:lastRenderedPageBreak/>
        <w:t>Технологическое присоединение принадлежащих физическому лицу энергопринимающих устройств, максимальная мощность которых составляет свыше 15 кВт до 670 к</w:t>
      </w:r>
      <w:proofErr w:type="gramStart"/>
      <w:r w:rsidRPr="0065793B"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  <w:t>Вт вкл</w:t>
      </w:r>
      <w:proofErr w:type="gramEnd"/>
      <w:r w:rsidRPr="0065793B"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  <w:t>ючительно (с учетом ранее присоединенных в данной точке присоединения энергопринимающих устройств), и/или электроснабжение которых предусмотрено по нескольким источникам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Кому предоставляется услуга?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Физическое лицо (далее - заявитель) в целях технологического присоединения энергопринимающих устройств (далее - ТП),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 и / или электроснабжение которых предусматривается по нескольким источникам.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Размер платы за предоставление услуги (процесса) и основание ее взимания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Вт вкл</w:t>
      </w:r>
      <w:proofErr w:type="gram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Результат оказания услуги (процесса)</w:t>
      </w: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Технологическое</w:t>
      </w:r>
      <w:proofErr w:type="gram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присоединения энергопринимающих устройств Заявителя.</w:t>
      </w:r>
    </w:p>
    <w:p w:rsidR="0065793B" w:rsidRPr="0065793B" w:rsidRDefault="0065793B" w:rsidP="0065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Общий срок оказания услуги (процесса)</w:t>
      </w:r>
    </w:p>
    <w:p w:rsidR="009C5667" w:rsidRDefault="0065793B" w:rsidP="009C5667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кВ</w:t>
      </w:r>
      <w:proofErr w:type="spell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энергопринимающие</w:t>
      </w:r>
      <w:proofErr w:type="spell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местности: </w:t>
      </w:r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br/>
        <w:t>- если от сетевой организации не требуется выполнение работ</w:t>
      </w:r>
      <w:proofErr w:type="gram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</w:t>
      </w:r>
      <w:proofErr w:type="gram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 заключения договора;</w:t>
      </w:r>
      <w:proofErr w:type="gram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 </w:t>
      </w:r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br/>
        <w:t xml:space="preserve">- в иных случаях – 1 год </w:t>
      </w:r>
      <w:proofErr w:type="gramStart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с даты заключения</w:t>
      </w:r>
      <w:proofErr w:type="gramEnd"/>
      <w:r w:rsidRPr="0065793B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9C5667" w:rsidRPr="009C5667" w:rsidRDefault="009C5667" w:rsidP="009C5667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</w:p>
    <w:p w:rsidR="009C5667" w:rsidRPr="009C5667" w:rsidRDefault="009C5667" w:rsidP="009C5667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</w:pPr>
      <w:r w:rsidRPr="009C5667">
        <w:rPr>
          <w:rFonts w:ascii="Times New Roman" w:eastAsia="Times New Roman" w:hAnsi="Times New Roman" w:cs="Times New Roman"/>
          <w:b/>
          <w:color w:val="3C3E40"/>
          <w:kern w:val="36"/>
          <w:sz w:val="24"/>
          <w:szCs w:val="24"/>
          <w:lang w:eastAsia="ru-RU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p w:rsidR="009C5667" w:rsidRP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6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Кому предоставляется услуга?</w:t>
      </w:r>
    </w:p>
    <w:p w:rsidR="009C5667" w:rsidRPr="009C5667" w:rsidRDefault="009C5667" w:rsidP="009C5667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энергопринимающими</w:t>
      </w:r>
      <w:proofErr w:type="spellEnd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9C5667" w:rsidRP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6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Размер платы за предоставление услуги (процесса) и основание ее взимания</w:t>
      </w:r>
    </w:p>
    <w:p w:rsidR="009C5667" w:rsidRPr="009C5667" w:rsidRDefault="009C5667" w:rsidP="009C5667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lastRenderedPageBreak/>
        <w:t>В соответствии с пунктом 79 Правил технологического присоединения энергопринимающих устройств потребителей электрической энергии не более 1 000 руб. </w:t>
      </w: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br/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C5667" w:rsidRP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6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Условия оказания услуги (процесса)</w:t>
      </w:r>
    </w:p>
    <w:p w:rsidR="009C5667" w:rsidRPr="009C5667" w:rsidRDefault="009C5667" w:rsidP="009C5667">
      <w:pPr>
        <w:shd w:val="clear" w:color="auto" w:fill="FFFFFF"/>
        <w:spacing w:after="33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C5667" w:rsidRPr="009C5667" w:rsidRDefault="009C5667" w:rsidP="009C5667">
      <w:pPr>
        <w:numPr>
          <w:ilvl w:val="0"/>
          <w:numId w:val="6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восстановление утраченных документов о технологическом присоединении;</w:t>
      </w:r>
    </w:p>
    <w:p w:rsidR="009C5667" w:rsidRPr="009C5667" w:rsidRDefault="009C5667" w:rsidP="009C5667">
      <w:pPr>
        <w:numPr>
          <w:ilvl w:val="0"/>
          <w:numId w:val="6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C5667" w:rsidRPr="009C5667" w:rsidRDefault="009C5667" w:rsidP="009C5667">
      <w:pPr>
        <w:numPr>
          <w:ilvl w:val="0"/>
          <w:numId w:val="6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C5667" w:rsidRPr="009C5667" w:rsidRDefault="009C5667" w:rsidP="009C5667">
      <w:pPr>
        <w:numPr>
          <w:ilvl w:val="0"/>
          <w:numId w:val="6"/>
        </w:numPr>
        <w:shd w:val="clear" w:color="auto" w:fill="FFFFFF"/>
        <w:spacing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9C5667" w:rsidRP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6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Результат оказания услуги (процесса)</w:t>
      </w:r>
    </w:p>
    <w:p w:rsidR="009C5667" w:rsidRPr="009C5667" w:rsidRDefault="009C5667" w:rsidP="009C5667">
      <w:pPr>
        <w:shd w:val="clear" w:color="auto" w:fill="FFFFFF"/>
        <w:spacing w:after="33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Выдача заявителю следующих документов о технологическом присоединении:</w:t>
      </w:r>
    </w:p>
    <w:p w:rsidR="009C5667" w:rsidRPr="009C5667" w:rsidRDefault="009C5667" w:rsidP="009C5667">
      <w:pPr>
        <w:numPr>
          <w:ilvl w:val="0"/>
          <w:numId w:val="7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изменения);</w:t>
      </w:r>
    </w:p>
    <w:p w:rsidR="009C5667" w:rsidRPr="009C5667" w:rsidRDefault="009C5667" w:rsidP="009C5667">
      <w:pPr>
        <w:numPr>
          <w:ilvl w:val="0"/>
          <w:numId w:val="7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дубликаты ранее выданных технических условий;</w:t>
      </w:r>
    </w:p>
    <w:p w:rsidR="009C5667" w:rsidRPr="009C5667" w:rsidRDefault="009C5667" w:rsidP="009C5667">
      <w:pPr>
        <w:numPr>
          <w:ilvl w:val="0"/>
          <w:numId w:val="7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дубликат акта о выполнении заявителем технических условий;</w:t>
      </w:r>
    </w:p>
    <w:p w:rsidR="009C5667" w:rsidRPr="009C5667" w:rsidRDefault="009C5667" w:rsidP="009C5667">
      <w:pPr>
        <w:numPr>
          <w:ilvl w:val="0"/>
          <w:numId w:val="7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дубликат акта осмотра (обследования) электроустановки.</w:t>
      </w:r>
    </w:p>
    <w:p w:rsidR="009C5667" w:rsidRPr="009C5667" w:rsidRDefault="009C5667" w:rsidP="009C5667">
      <w:pPr>
        <w:shd w:val="clear" w:color="auto" w:fill="FFFFFF"/>
        <w:spacing w:after="330"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новые технические условия с внесенными в них изменениями;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новый акт о выполнении заявителем технических условий с внесенными в него изменениями;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новый акт осмотра (обследования) электроустановок заявителя с внесенными в него изменениями;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новый акт о технологическом присоединении;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новый акт разграничения балансовой принадлежности сторон;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нового акта разграничения эксплуатационной ответственности сторон;</w:t>
      </w:r>
    </w:p>
    <w:p w:rsidR="009C5667" w:rsidRPr="009C5667" w:rsidRDefault="009C5667" w:rsidP="009C5667">
      <w:pPr>
        <w:numPr>
          <w:ilvl w:val="0"/>
          <w:numId w:val="8"/>
        </w:numPr>
        <w:shd w:val="clear" w:color="auto" w:fill="FFFFFF"/>
        <w:spacing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новый акт согласования технологической и (или) аварийной брони.</w:t>
      </w:r>
    </w:p>
    <w:p w:rsidR="009C5667" w:rsidRDefault="009C5667" w:rsidP="009C5667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9C5667" w:rsidRPr="009C5667" w:rsidRDefault="009C5667" w:rsidP="009C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566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Общий срок оказания услуги (процесса)</w:t>
      </w:r>
    </w:p>
    <w:p w:rsidR="009C5667" w:rsidRPr="009C5667" w:rsidRDefault="009C5667" w:rsidP="009C5667">
      <w:pPr>
        <w:numPr>
          <w:ilvl w:val="0"/>
          <w:numId w:val="9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присоединении.</w:t>
      </w:r>
      <w:proofErr w:type="gramEnd"/>
    </w:p>
    <w:p w:rsidR="009C5667" w:rsidRPr="009C5667" w:rsidRDefault="009C5667" w:rsidP="009C5667">
      <w:pPr>
        <w:numPr>
          <w:ilvl w:val="0"/>
          <w:numId w:val="9"/>
        </w:numPr>
        <w:shd w:val="clear" w:color="auto" w:fill="FFFFFF"/>
        <w:spacing w:after="180"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присоединения).</w:t>
      </w:r>
    </w:p>
    <w:p w:rsidR="009C5667" w:rsidRPr="009C5667" w:rsidRDefault="009C5667" w:rsidP="009C5667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  <w:proofErr w:type="gram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 xml:space="preserve"> </w:t>
      </w:r>
      <w:proofErr w:type="gramStart"/>
      <w:r w:rsidRPr="009C5667">
        <w:rPr>
          <w:rFonts w:ascii="inherit" w:eastAsia="Times New Roman" w:hAnsi="inherit" w:cs="Arial"/>
          <w:color w:val="3C3E40"/>
          <w:sz w:val="21"/>
          <w:szCs w:val="21"/>
          <w:lang w:eastAsia="ru-RU"/>
        </w:rPr>
        <w:t>Правил технологического присоединения).</w:t>
      </w:r>
      <w:proofErr w:type="gramEnd"/>
    </w:p>
    <w:p w:rsidR="0065793B" w:rsidRDefault="0065793B" w:rsidP="0065793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</w:p>
    <w:p w:rsidR="0065793B" w:rsidRPr="0065793B" w:rsidRDefault="0065793B" w:rsidP="0065793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3C3E40"/>
          <w:sz w:val="21"/>
          <w:szCs w:val="21"/>
          <w:lang w:eastAsia="ru-RU"/>
        </w:rPr>
      </w:pPr>
    </w:p>
    <w:sectPr w:rsidR="0065793B" w:rsidRPr="0065793B" w:rsidSect="0065793B">
      <w:pgSz w:w="11906" w:h="16838" w:code="9"/>
      <w:pgMar w:top="851" w:right="340" w:bottom="28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495"/>
    <w:multiLevelType w:val="multilevel"/>
    <w:tmpl w:val="5EB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5044"/>
    <w:multiLevelType w:val="multilevel"/>
    <w:tmpl w:val="27D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2B70"/>
    <w:multiLevelType w:val="multilevel"/>
    <w:tmpl w:val="599C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C214D"/>
    <w:multiLevelType w:val="multilevel"/>
    <w:tmpl w:val="5FE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803C1"/>
    <w:multiLevelType w:val="multilevel"/>
    <w:tmpl w:val="5C9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54D79"/>
    <w:multiLevelType w:val="multilevel"/>
    <w:tmpl w:val="E12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A01A6"/>
    <w:multiLevelType w:val="multilevel"/>
    <w:tmpl w:val="BF3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743A8"/>
    <w:multiLevelType w:val="multilevel"/>
    <w:tmpl w:val="9F6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F005D"/>
    <w:multiLevelType w:val="multilevel"/>
    <w:tmpl w:val="5BE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3B"/>
    <w:rsid w:val="000128D9"/>
    <w:rsid w:val="00027FE4"/>
    <w:rsid w:val="00040627"/>
    <w:rsid w:val="0004399A"/>
    <w:rsid w:val="0005358F"/>
    <w:rsid w:val="0006247D"/>
    <w:rsid w:val="00067004"/>
    <w:rsid w:val="0009132F"/>
    <w:rsid w:val="000937A4"/>
    <w:rsid w:val="000A2E0B"/>
    <w:rsid w:val="000A6750"/>
    <w:rsid w:val="000B24B1"/>
    <w:rsid w:val="000C0864"/>
    <w:rsid w:val="000D192F"/>
    <w:rsid w:val="000D4CC7"/>
    <w:rsid w:val="00101C11"/>
    <w:rsid w:val="00141E1C"/>
    <w:rsid w:val="00142FBC"/>
    <w:rsid w:val="00164FC8"/>
    <w:rsid w:val="00166EEC"/>
    <w:rsid w:val="00184C0B"/>
    <w:rsid w:val="00193BCC"/>
    <w:rsid w:val="001A0302"/>
    <w:rsid w:val="001B71DB"/>
    <w:rsid w:val="001B7670"/>
    <w:rsid w:val="001E017D"/>
    <w:rsid w:val="001E0BD1"/>
    <w:rsid w:val="001E24FE"/>
    <w:rsid w:val="001E2B78"/>
    <w:rsid w:val="001E7FBA"/>
    <w:rsid w:val="0020335E"/>
    <w:rsid w:val="00211A1A"/>
    <w:rsid w:val="0021204A"/>
    <w:rsid w:val="00233DE5"/>
    <w:rsid w:val="00236F1A"/>
    <w:rsid w:val="002468ED"/>
    <w:rsid w:val="00250951"/>
    <w:rsid w:val="00261811"/>
    <w:rsid w:val="0026377E"/>
    <w:rsid w:val="002639A8"/>
    <w:rsid w:val="00272BE8"/>
    <w:rsid w:val="00297DCE"/>
    <w:rsid w:val="002A3114"/>
    <w:rsid w:val="002C37EB"/>
    <w:rsid w:val="002D155C"/>
    <w:rsid w:val="002F241C"/>
    <w:rsid w:val="002F2E9F"/>
    <w:rsid w:val="002F4B19"/>
    <w:rsid w:val="00340734"/>
    <w:rsid w:val="003409B2"/>
    <w:rsid w:val="003516CB"/>
    <w:rsid w:val="0035262D"/>
    <w:rsid w:val="00356F6F"/>
    <w:rsid w:val="00364C2D"/>
    <w:rsid w:val="00375F19"/>
    <w:rsid w:val="00381A92"/>
    <w:rsid w:val="003827B2"/>
    <w:rsid w:val="003A1A4D"/>
    <w:rsid w:val="003A224B"/>
    <w:rsid w:val="003A2622"/>
    <w:rsid w:val="003A2D04"/>
    <w:rsid w:val="003B0628"/>
    <w:rsid w:val="003F0287"/>
    <w:rsid w:val="003F576F"/>
    <w:rsid w:val="0041794F"/>
    <w:rsid w:val="00440B98"/>
    <w:rsid w:val="00446863"/>
    <w:rsid w:val="00460A07"/>
    <w:rsid w:val="004759FC"/>
    <w:rsid w:val="004A637C"/>
    <w:rsid w:val="004D15B0"/>
    <w:rsid w:val="004D731B"/>
    <w:rsid w:val="004D7DE0"/>
    <w:rsid w:val="004E1D95"/>
    <w:rsid w:val="005063C9"/>
    <w:rsid w:val="0051014D"/>
    <w:rsid w:val="00520CCC"/>
    <w:rsid w:val="005435E5"/>
    <w:rsid w:val="0054455B"/>
    <w:rsid w:val="00550B0A"/>
    <w:rsid w:val="0055197E"/>
    <w:rsid w:val="00566454"/>
    <w:rsid w:val="00571357"/>
    <w:rsid w:val="00581BEB"/>
    <w:rsid w:val="0058484E"/>
    <w:rsid w:val="00587DB0"/>
    <w:rsid w:val="005974AF"/>
    <w:rsid w:val="005B21E7"/>
    <w:rsid w:val="005C1751"/>
    <w:rsid w:val="005D3548"/>
    <w:rsid w:val="005D7E9E"/>
    <w:rsid w:val="00635649"/>
    <w:rsid w:val="00650E74"/>
    <w:rsid w:val="006530DB"/>
    <w:rsid w:val="0065793B"/>
    <w:rsid w:val="00657DDD"/>
    <w:rsid w:val="00662305"/>
    <w:rsid w:val="006911E3"/>
    <w:rsid w:val="006E0B04"/>
    <w:rsid w:val="0070463E"/>
    <w:rsid w:val="007058B3"/>
    <w:rsid w:val="00706F26"/>
    <w:rsid w:val="00730102"/>
    <w:rsid w:val="007303B5"/>
    <w:rsid w:val="00730E0F"/>
    <w:rsid w:val="00740BAB"/>
    <w:rsid w:val="00747111"/>
    <w:rsid w:val="00763B30"/>
    <w:rsid w:val="00764EC1"/>
    <w:rsid w:val="007777D4"/>
    <w:rsid w:val="007B6FBA"/>
    <w:rsid w:val="007C296C"/>
    <w:rsid w:val="007E5242"/>
    <w:rsid w:val="007F60AD"/>
    <w:rsid w:val="0081710B"/>
    <w:rsid w:val="0082716D"/>
    <w:rsid w:val="0083009A"/>
    <w:rsid w:val="00840D4E"/>
    <w:rsid w:val="008473E3"/>
    <w:rsid w:val="008628C4"/>
    <w:rsid w:val="0086371C"/>
    <w:rsid w:val="00863C1A"/>
    <w:rsid w:val="0086488B"/>
    <w:rsid w:val="00881B19"/>
    <w:rsid w:val="00890A63"/>
    <w:rsid w:val="008A1F9A"/>
    <w:rsid w:val="008A5A33"/>
    <w:rsid w:val="008A6AE8"/>
    <w:rsid w:val="008B1A7B"/>
    <w:rsid w:val="008D5C90"/>
    <w:rsid w:val="00900532"/>
    <w:rsid w:val="00900AA4"/>
    <w:rsid w:val="00916C4E"/>
    <w:rsid w:val="009230C8"/>
    <w:rsid w:val="009231FA"/>
    <w:rsid w:val="00923E53"/>
    <w:rsid w:val="0092587E"/>
    <w:rsid w:val="0094584E"/>
    <w:rsid w:val="00945862"/>
    <w:rsid w:val="00950358"/>
    <w:rsid w:val="00954576"/>
    <w:rsid w:val="00960EFA"/>
    <w:rsid w:val="00976992"/>
    <w:rsid w:val="009805D2"/>
    <w:rsid w:val="00986D11"/>
    <w:rsid w:val="00996E50"/>
    <w:rsid w:val="009B0867"/>
    <w:rsid w:val="009B3D38"/>
    <w:rsid w:val="009C2E98"/>
    <w:rsid w:val="009C5667"/>
    <w:rsid w:val="009D59EF"/>
    <w:rsid w:val="009D7806"/>
    <w:rsid w:val="009F09BA"/>
    <w:rsid w:val="009F265B"/>
    <w:rsid w:val="00A12331"/>
    <w:rsid w:val="00A14446"/>
    <w:rsid w:val="00A15929"/>
    <w:rsid w:val="00A17EAE"/>
    <w:rsid w:val="00A2773F"/>
    <w:rsid w:val="00A521A6"/>
    <w:rsid w:val="00A542B9"/>
    <w:rsid w:val="00A56D22"/>
    <w:rsid w:val="00A61F7A"/>
    <w:rsid w:val="00A62D0D"/>
    <w:rsid w:val="00A6364B"/>
    <w:rsid w:val="00A94C58"/>
    <w:rsid w:val="00A97099"/>
    <w:rsid w:val="00AA710E"/>
    <w:rsid w:val="00AB2A5B"/>
    <w:rsid w:val="00AB2ADC"/>
    <w:rsid w:val="00AC63EA"/>
    <w:rsid w:val="00AD258B"/>
    <w:rsid w:val="00AE24BE"/>
    <w:rsid w:val="00AF2F15"/>
    <w:rsid w:val="00B006B6"/>
    <w:rsid w:val="00B02D10"/>
    <w:rsid w:val="00B11F65"/>
    <w:rsid w:val="00B12574"/>
    <w:rsid w:val="00B130B7"/>
    <w:rsid w:val="00B2637A"/>
    <w:rsid w:val="00B27EFE"/>
    <w:rsid w:val="00B301B0"/>
    <w:rsid w:val="00B551E9"/>
    <w:rsid w:val="00B63D7C"/>
    <w:rsid w:val="00B93464"/>
    <w:rsid w:val="00BA2148"/>
    <w:rsid w:val="00BB403F"/>
    <w:rsid w:val="00BB7DB4"/>
    <w:rsid w:val="00BC3277"/>
    <w:rsid w:val="00BD1B4F"/>
    <w:rsid w:val="00BE3D70"/>
    <w:rsid w:val="00BE725C"/>
    <w:rsid w:val="00C359C1"/>
    <w:rsid w:val="00C62AA7"/>
    <w:rsid w:val="00C812AE"/>
    <w:rsid w:val="00C842F9"/>
    <w:rsid w:val="00C915CB"/>
    <w:rsid w:val="00CA78E3"/>
    <w:rsid w:val="00CB6D0E"/>
    <w:rsid w:val="00CC2AA8"/>
    <w:rsid w:val="00CE27B4"/>
    <w:rsid w:val="00D26FD0"/>
    <w:rsid w:val="00D44A01"/>
    <w:rsid w:val="00D55324"/>
    <w:rsid w:val="00D62A0E"/>
    <w:rsid w:val="00D654B8"/>
    <w:rsid w:val="00D70DA6"/>
    <w:rsid w:val="00D83470"/>
    <w:rsid w:val="00D907CE"/>
    <w:rsid w:val="00DA1B1E"/>
    <w:rsid w:val="00DA768D"/>
    <w:rsid w:val="00DA7BC2"/>
    <w:rsid w:val="00DB09EC"/>
    <w:rsid w:val="00DC0BAA"/>
    <w:rsid w:val="00DC3DFA"/>
    <w:rsid w:val="00DC55C1"/>
    <w:rsid w:val="00DF69DF"/>
    <w:rsid w:val="00E043D5"/>
    <w:rsid w:val="00E05874"/>
    <w:rsid w:val="00E21C6A"/>
    <w:rsid w:val="00E5306F"/>
    <w:rsid w:val="00E54A46"/>
    <w:rsid w:val="00E5641A"/>
    <w:rsid w:val="00E604EA"/>
    <w:rsid w:val="00E86CF8"/>
    <w:rsid w:val="00E900D6"/>
    <w:rsid w:val="00E9035B"/>
    <w:rsid w:val="00EA013C"/>
    <w:rsid w:val="00EA1E27"/>
    <w:rsid w:val="00EA4539"/>
    <w:rsid w:val="00EB2A69"/>
    <w:rsid w:val="00EB3AD2"/>
    <w:rsid w:val="00EB4374"/>
    <w:rsid w:val="00EC44B1"/>
    <w:rsid w:val="00ED07EA"/>
    <w:rsid w:val="00ED15BE"/>
    <w:rsid w:val="00ED7CFE"/>
    <w:rsid w:val="00EE6630"/>
    <w:rsid w:val="00EF1FFB"/>
    <w:rsid w:val="00EF6D27"/>
    <w:rsid w:val="00F02DCA"/>
    <w:rsid w:val="00F25E69"/>
    <w:rsid w:val="00F32FB7"/>
    <w:rsid w:val="00F5011B"/>
    <w:rsid w:val="00F547F1"/>
    <w:rsid w:val="00F71100"/>
    <w:rsid w:val="00F90BD6"/>
    <w:rsid w:val="00F96E1D"/>
    <w:rsid w:val="00FC61EF"/>
    <w:rsid w:val="00FD530F"/>
    <w:rsid w:val="00FE0ACC"/>
    <w:rsid w:val="00FF662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Спожакина</dc:creator>
  <cp:keywords/>
  <dc:description/>
  <cp:lastModifiedBy>Мария Спожакина</cp:lastModifiedBy>
  <cp:revision>1</cp:revision>
  <dcterms:created xsi:type="dcterms:W3CDTF">2017-02-22T04:18:00Z</dcterms:created>
  <dcterms:modified xsi:type="dcterms:W3CDTF">2017-02-22T06:12:00Z</dcterms:modified>
</cp:coreProperties>
</file>